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15" w:lineRule="atLeast"/>
        <w:ind w:firstLine="420" w:firstLineChars="200"/>
        <w:jc w:val="center"/>
      </w:pPr>
      <w:r>
        <w:drawing>
          <wp:inline distT="0" distB="0" distL="114300" distR="114300">
            <wp:extent cx="1892935" cy="307975"/>
            <wp:effectExtent l="0" t="0" r="12065" b="15875"/>
            <wp:docPr id="13" name="图片 1" descr="说明: id:21474997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descr="说明: id:2147499734;FounderCES"/>
                    <pic:cNvPicPr>
                      <a:picLocks noChangeAspect="1"/>
                    </pic:cNvPicPr>
                  </pic:nvPicPr>
                  <pic:blipFill>
                    <a:blip r:embed="rId4"/>
                    <a:stretch>
                      <a:fillRect/>
                    </a:stretch>
                  </pic:blipFill>
                  <pic:spPr>
                    <a:xfrm>
                      <a:off x="0" y="0"/>
                      <a:ext cx="1892935" cy="307975"/>
                    </a:xfrm>
                    <a:prstGeom prst="rect">
                      <a:avLst/>
                    </a:prstGeom>
                    <a:noFill/>
                    <a:ln w="9525">
                      <a:noFill/>
                    </a:ln>
                  </pic:spPr>
                </pic:pic>
              </a:graphicData>
            </a:graphic>
          </wp:inline>
        </w:drawing>
      </w:r>
    </w:p>
    <w:p>
      <w:pPr>
        <w:pStyle w:val="4"/>
        <w:spacing w:line="331" w:lineRule="atLeast"/>
      </w:pPr>
      <w:r>
        <w:rPr>
          <w:color w:val="FF00FF"/>
          <w:sz w:val="24"/>
        </w:rPr>
        <w:drawing>
          <wp:inline distT="0" distB="0" distL="114300" distR="114300">
            <wp:extent cx="1654810" cy="210185"/>
            <wp:effectExtent l="0" t="0" r="2540" b="18415"/>
            <wp:docPr id="11" name="图片 13" descr="说明: id:21474999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3" descr="说明: id:2147499908;FounderCES"/>
                    <pic:cNvPicPr>
                      <a:picLocks noChangeAspect="1"/>
                    </pic:cNvPicPr>
                  </pic:nvPicPr>
                  <pic:blipFill>
                    <a:blip r:embed="rId5"/>
                    <a:stretch>
                      <a:fillRect/>
                    </a:stretch>
                  </pic:blipFill>
                  <pic:spPr>
                    <a:xfrm>
                      <a:off x="0" y="0"/>
                      <a:ext cx="1654810" cy="210185"/>
                    </a:xfrm>
                    <a:prstGeom prst="rect">
                      <a:avLst/>
                    </a:prstGeom>
                    <a:noFill/>
                    <a:ln w="9525">
                      <a:noFill/>
                    </a:ln>
                  </pic:spPr>
                </pic:pic>
              </a:graphicData>
            </a:graphic>
          </wp:inline>
        </w:drawing>
      </w:r>
    </w:p>
    <w:p>
      <w:pPr>
        <w:spacing w:line="301" w:lineRule="exact"/>
        <w:ind w:firstLine="420" w:firstLineChars="200"/>
      </w:pPr>
      <w:r>
        <w:rPr>
          <w:rFonts w:ascii="NEU-HZ-S92" w:hAnsi="NEU-HZ-S92"/>
        </w:rPr>
        <w:t>1</w:t>
      </w:r>
      <w:r>
        <w:t>.</w:t>
      </w:r>
      <w:r>
        <w:rPr>
          <w:rFonts w:hint="eastAsia" w:eastAsia="方正仿宋_GBK"/>
        </w:rPr>
        <w:t xml:space="preserve"> 相遇问题是在学习了速度、时间和路程的数量关系的基础上进行教学的</w:t>
      </w:r>
      <w:r>
        <w:rPr>
          <w:rFonts w:ascii="方正仿宋_GBK" w:hAnsi="方正仿宋_GBK"/>
        </w:rPr>
        <w:t>,</w:t>
      </w:r>
      <w:r>
        <w:rPr>
          <w:rFonts w:hint="eastAsia" w:eastAsia="方正仿宋_GBK"/>
        </w:rPr>
        <w:t>由一个物体运动的特点和数量关系为基础来探索两个物体运动的特点和数量关系。通过对教材合理整合</w:t>
      </w:r>
      <w:r>
        <w:rPr>
          <w:rFonts w:ascii="方正仿宋_GBK" w:hAnsi="方正仿宋_GBK"/>
        </w:rPr>
        <w:t>,</w:t>
      </w:r>
      <w:r>
        <w:rPr>
          <w:rFonts w:hint="eastAsia" w:eastAsia="方正仿宋_GBK"/>
        </w:rPr>
        <w:t>使学生学现实的、有意义的、有价值的数学</w:t>
      </w:r>
      <w:r>
        <w:rPr>
          <w:rFonts w:ascii="方正仿宋_GBK" w:hAnsi="方正仿宋_GBK"/>
        </w:rPr>
        <w:t>,</w:t>
      </w:r>
      <w:r>
        <w:rPr>
          <w:rFonts w:hint="eastAsia" w:eastAsia="方正仿宋_GBK"/>
        </w:rPr>
        <w:t>使学生感受到数学源于生活</w:t>
      </w:r>
      <w:r>
        <w:rPr>
          <w:rFonts w:ascii="方正仿宋_GBK" w:hAnsi="方正仿宋_GBK"/>
        </w:rPr>
        <w:t>,</w:t>
      </w:r>
      <w:r>
        <w:rPr>
          <w:rFonts w:hint="eastAsia" w:eastAsia="方正仿宋_GBK"/>
        </w:rPr>
        <w:t>又用于生活</w:t>
      </w:r>
      <w:r>
        <w:rPr>
          <w:rFonts w:ascii="方正仿宋_GBK" w:hAnsi="方正仿宋_GBK"/>
        </w:rPr>
        <w:t>,</w:t>
      </w:r>
      <w:r>
        <w:rPr>
          <w:rFonts w:hint="eastAsia" w:eastAsia="方正仿宋_GBK"/>
        </w:rPr>
        <w:t>从而增强学生学好数学的信心</w:t>
      </w:r>
      <w:r>
        <w:rPr>
          <w:rFonts w:ascii="方正仿宋_GBK" w:hAnsi="方正仿宋_GBK"/>
        </w:rPr>
        <w:t>,</w:t>
      </w:r>
      <w:r>
        <w:rPr>
          <w:rFonts w:hint="eastAsia" w:eastAsia="方正仿宋_GBK"/>
        </w:rPr>
        <w:t>激发学生学习数学的兴趣。</w:t>
      </w:r>
    </w:p>
    <w:p>
      <w:pPr>
        <w:spacing w:line="301" w:lineRule="exact"/>
        <w:ind w:firstLine="420" w:firstLineChars="200"/>
      </w:pPr>
      <w:r>
        <w:rPr>
          <w:rFonts w:ascii="NEU-HZ-S92" w:hAnsi="NEU-HZ-S92"/>
        </w:rPr>
        <w:t>2</w:t>
      </w:r>
      <w:r>
        <w:t>.</w:t>
      </w:r>
      <w:r>
        <w:rPr>
          <w:rFonts w:hint="eastAsia" w:eastAsia="方正仿宋_GBK"/>
        </w:rPr>
        <w:t xml:space="preserve"> 体现快乐的数学</w:t>
      </w:r>
      <w:r>
        <w:rPr>
          <w:rFonts w:ascii="方正仿宋_GBK" w:hAnsi="方正仿宋_GBK"/>
        </w:rPr>
        <w:t>,</w:t>
      </w:r>
      <w:r>
        <w:rPr>
          <w:rFonts w:hint="eastAsia" w:eastAsia="方正仿宋_GBK"/>
        </w:rPr>
        <w:t>即数学教学趣味化。关注学生学习兴趣</w:t>
      </w:r>
      <w:r>
        <w:rPr>
          <w:rFonts w:ascii="方正仿宋_GBK" w:hAnsi="方正仿宋_GBK"/>
        </w:rPr>
        <w:t>,</w:t>
      </w:r>
      <w:r>
        <w:rPr>
          <w:rFonts w:hint="eastAsia" w:eastAsia="方正仿宋_GBK"/>
        </w:rPr>
        <w:t>让学生在快乐中学习数学。课堂教学不仅注重学生知识的获得、能力的提高</w:t>
      </w:r>
      <w:r>
        <w:rPr>
          <w:rFonts w:ascii="方正仿宋_GBK" w:hAnsi="方正仿宋_GBK"/>
        </w:rPr>
        <w:t>,</w:t>
      </w:r>
      <w:r>
        <w:rPr>
          <w:rFonts w:hint="eastAsia" w:eastAsia="方正仿宋_GBK"/>
        </w:rPr>
        <w:t>同时也注重学生情感态度与价值观的培养。</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Arial Unicode MS"/>
    <w:panose1 w:val="03000502000000000000"/>
    <w:charset w:val="86"/>
    <w:family w:val="script"/>
    <w:pitch w:val="default"/>
    <w:sig w:usb0="00000000" w:usb1="00000000" w:usb2="000A005E" w:usb3="00000000" w:csb0="003C0041" w:csb1="00000000"/>
  </w:font>
  <w:font w:name="方正书宋_GBK">
    <w:altName w:val="Arial Unicode MS"/>
    <w:panose1 w:val="03000509000000000000"/>
    <w:charset w:val="86"/>
    <w:family w:val="script"/>
    <w:pitch w:val="default"/>
    <w:sig w:usb0="00000000" w:usb1="00000000" w:usb2="00000010" w:usb3="00000000" w:csb0="00040000" w:csb1="00000000"/>
  </w:font>
  <w:font w:name="NEU-HZ-S92">
    <w:altName w:val="Arial Unicode MS"/>
    <w:panose1 w:val="03000502000000000000"/>
    <w:charset w:val="86"/>
    <w:family w:val="script"/>
    <w:pitch w:val="default"/>
    <w:sig w:usb0="00000000" w:usb1="00000000" w:usb2="000A005E" w:usb3="00000000" w:csb0="003C0041" w:csb1="00000000"/>
  </w:font>
  <w:font w:name="方正仿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455BCC"/>
    <w:rsid w:val="36455B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三级章节"/>
    <w:basedOn w:val="1"/>
    <w:qFormat/>
    <w:uiPriority w:val="0"/>
    <w:pPr>
      <w:widowControl/>
      <w:spacing w:line="315" w:lineRule="exact"/>
      <w:jc w:val="left"/>
      <w:outlineLvl w:val="3"/>
    </w:pPr>
    <w:rPr>
      <w:rFonts w:ascii="NEU-BZ-S92" w:hAnsi="NEU-BZ-S92" w:eastAsia="方正书宋_GBK"/>
      <w:color w:val="000000"/>
      <w:kern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2018-08-15T09:10:00Z</dcterms:created>
  <dc:creator>123</dc:creator>
  <cp:lastModifiedBy>123</cp:lastModifiedBy>
  <dcterms:modified xsi:type="dcterms:W3CDTF">2018-08-15T09:11:02Z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